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C51D77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DANCE</w:t>
      </w:r>
      <w:r w:rsidR="007E49E5" w:rsidRPr="00C12B1E">
        <w:rPr>
          <w:b/>
          <w:sz w:val="36"/>
          <w:szCs w:val="36"/>
        </w:rPr>
        <w:t xml:space="preserve"> Education</w:t>
      </w:r>
    </w:p>
    <w:p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C51D77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C51D77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C51D77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:rsidR="00114DBD" w:rsidRPr="00114DBD" w:rsidRDefault="00312EC8" w:rsidP="00114DBD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Documentation of PPAT implementation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C51D77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:rsidTr="00C51D77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C51D77" w:rsidRPr="001B5771" w:rsidTr="00C51D77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C51D77" w:rsidRPr="006A7C34" w:rsidRDefault="00C51D77" w:rsidP="00C51D77">
            <w:pPr>
              <w:rPr>
                <w:rFonts w:ascii="Georgia" w:hAnsi="Georgia" w:cs="Tahoma"/>
              </w:rPr>
            </w:pPr>
            <w:r w:rsidRPr="00CE4584">
              <w:rPr>
                <w:rFonts w:ascii="Georgia" w:hAnsi="Georgia" w:cs="Tahoma"/>
                <w:b/>
                <w:bCs/>
                <w:i/>
              </w:rPr>
              <w:t xml:space="preserve">Standard 1: </w:t>
            </w:r>
            <w:r w:rsidRPr="006A7C34">
              <w:rPr>
                <w:rFonts w:ascii="Georgia" w:hAnsi="Georgia" w:cs="Tahoma"/>
                <w:bCs/>
              </w:rPr>
              <w:t>Has a sound philosophical understanding and knowledge of dance education and creative movement and can support, justify and implement the dance education.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:rsidTr="00C51D77">
        <w:trPr>
          <w:trHeight w:val="580"/>
        </w:trPr>
        <w:tc>
          <w:tcPr>
            <w:tcW w:w="1765" w:type="pct"/>
          </w:tcPr>
          <w:p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2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  <w:bCs/>
              </w:rPr>
              <w:t xml:space="preserve">Has a thorough knowledge of a sequential dance/creative movement curriculum that is developmentally appropriate for each grade level and inclusive of various </w:t>
            </w:r>
            <w:proofErr w:type="gramStart"/>
            <w:r w:rsidRPr="006A7C34">
              <w:rPr>
                <w:rFonts w:ascii="Georgia" w:hAnsi="Georgia" w:cs="Tahoma"/>
                <w:bCs/>
              </w:rPr>
              <w:t>student learning</w:t>
            </w:r>
            <w:proofErr w:type="gramEnd"/>
            <w:r w:rsidRPr="006A7C34">
              <w:rPr>
                <w:rFonts w:ascii="Georgia" w:hAnsi="Georgia" w:cs="Tahoma"/>
                <w:bCs/>
              </w:rPr>
              <w:t xml:space="preserve"> styles and those with special needs.  </w:t>
            </w:r>
          </w:p>
        </w:tc>
        <w:tc>
          <w:tcPr>
            <w:tcW w:w="882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:rsidTr="00C51D77">
        <w:trPr>
          <w:trHeight w:val="845"/>
        </w:trPr>
        <w:tc>
          <w:tcPr>
            <w:tcW w:w="1765" w:type="pct"/>
          </w:tcPr>
          <w:p w:rsidR="00C51D77" w:rsidRPr="006A7C34" w:rsidRDefault="00C51D77" w:rsidP="00C51D7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3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  <w:bCs/>
              </w:rPr>
              <w:t xml:space="preserve">Understands the history of dance and its role in culture and the arts worldwide. </w:t>
            </w:r>
          </w:p>
        </w:tc>
        <w:tc>
          <w:tcPr>
            <w:tcW w:w="882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:rsidTr="00C51D77">
        <w:trPr>
          <w:trHeight w:val="845"/>
        </w:trPr>
        <w:tc>
          <w:tcPr>
            <w:tcW w:w="1765" w:type="pct"/>
          </w:tcPr>
          <w:p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4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 xml:space="preserve">Has a working knowledge of dance integration and values the art-related competencies in Oklahoma's core curriculum.  </w:t>
            </w:r>
          </w:p>
        </w:tc>
        <w:tc>
          <w:tcPr>
            <w:tcW w:w="882" w:type="pct"/>
          </w:tcPr>
          <w:p w:rsidR="00C51D77" w:rsidRPr="00CB587C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C51D77" w:rsidRPr="00CB587C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:rsidTr="00C51D77">
        <w:trPr>
          <w:trHeight w:val="854"/>
        </w:trPr>
        <w:tc>
          <w:tcPr>
            <w:tcW w:w="1765" w:type="pct"/>
          </w:tcPr>
          <w:p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5</w:t>
            </w:r>
            <w:r w:rsidRPr="00CE4584">
              <w:rPr>
                <w:rFonts w:ascii="Georgia" w:hAnsi="Georgia" w:cs="Tahoma"/>
                <w:b/>
                <w:bCs/>
                <w:i/>
              </w:rPr>
              <w:t>:</w:t>
            </w:r>
            <w:r>
              <w:rPr>
                <w:rFonts w:ascii="Georgia" w:hAnsi="Georgia" w:cs="Tahoma"/>
              </w:rPr>
              <w:t xml:space="preserve"> </w:t>
            </w:r>
            <w:r w:rsidRPr="006A7C34">
              <w:rPr>
                <w:rFonts w:ascii="Georgia" w:hAnsi="Georgia" w:cs="Tahoma"/>
              </w:rPr>
              <w:t xml:space="preserve">Recognizes and respects diversity and establishes environments where individual’s dance content and learning </w:t>
            </w:r>
            <w:proofErr w:type="gramStart"/>
            <w:r w:rsidRPr="006A7C34">
              <w:rPr>
                <w:rFonts w:ascii="Georgia" w:hAnsi="Georgia" w:cs="Tahoma"/>
              </w:rPr>
              <w:t>are held</w:t>
            </w:r>
            <w:proofErr w:type="gramEnd"/>
            <w:r w:rsidRPr="006A7C34">
              <w:rPr>
                <w:rFonts w:ascii="Georgia" w:hAnsi="Georgia" w:cs="Tahoma"/>
              </w:rPr>
              <w:t xml:space="preserve"> in high regard.</w:t>
            </w:r>
          </w:p>
        </w:tc>
        <w:tc>
          <w:tcPr>
            <w:tcW w:w="882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:rsidTr="00C51D77">
        <w:trPr>
          <w:trHeight w:val="890"/>
        </w:trPr>
        <w:tc>
          <w:tcPr>
            <w:tcW w:w="1765" w:type="pct"/>
          </w:tcPr>
          <w:p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6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</w:rPr>
              <w:t xml:space="preserve">Understands the process of critical thinking and implements problem solving activities, analysis, reflection, </w:t>
            </w:r>
            <w:proofErr w:type="gramStart"/>
            <w:r w:rsidRPr="006A7C34">
              <w:rPr>
                <w:rFonts w:ascii="Georgia" w:hAnsi="Georgia" w:cs="Tahoma"/>
              </w:rPr>
              <w:t>decision making</w:t>
            </w:r>
            <w:proofErr w:type="gramEnd"/>
            <w:r w:rsidRPr="006A7C34">
              <w:rPr>
                <w:rFonts w:ascii="Georgia" w:hAnsi="Georgia" w:cs="Tahoma"/>
              </w:rPr>
              <w:t xml:space="preserve"> and creative exploration in dance.  </w:t>
            </w:r>
          </w:p>
        </w:tc>
        <w:tc>
          <w:tcPr>
            <w:tcW w:w="882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:rsidTr="00C51D77">
        <w:trPr>
          <w:trHeight w:val="881"/>
        </w:trPr>
        <w:tc>
          <w:tcPr>
            <w:tcW w:w="1765" w:type="pct"/>
          </w:tcPr>
          <w:p w:rsidR="00C51D77" w:rsidRPr="006A7C34" w:rsidRDefault="00C51D77" w:rsidP="00C51D77">
            <w:pPr>
              <w:rPr>
                <w:rFonts w:ascii="Georgia" w:hAnsi="Georgia" w:cs="Tahoma"/>
              </w:rPr>
            </w:pPr>
            <w:proofErr w:type="gramStart"/>
            <w:r>
              <w:rPr>
                <w:rFonts w:ascii="Georgia" w:hAnsi="Georgia" w:cs="Tahoma"/>
                <w:b/>
                <w:bCs/>
                <w:i/>
              </w:rPr>
              <w:t>Standard 7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</w:rPr>
              <w:t>Understands the elements of dance and technical skills in performing dance including: time (i.e., fast slow, even, uneven, accent, meters);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space (i.e., levels, direction, pathways);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force (i.e., energy, weight, flow);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locomotor movements (i.e., walk, run, skip, hop, jump, slide, gallop, leap);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non</w:t>
            </w:r>
            <w:r>
              <w:rPr>
                <w:rFonts w:ascii="Georgia" w:hAnsi="Georgia" w:cs="Tahoma"/>
              </w:rPr>
              <w:t>-</w:t>
            </w:r>
            <w:r w:rsidRPr="006A7C34">
              <w:rPr>
                <w:rFonts w:ascii="Georgia" w:hAnsi="Georgia" w:cs="Tahoma"/>
              </w:rPr>
              <w:t>locomotor movements ( i.e., bend, stretch, twist, swing);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rhythmic activities and musicality;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proper skeletal alignment;</w:t>
            </w:r>
            <w:r w:rsidRPr="006A7C34">
              <w:rPr>
                <w:rFonts w:ascii="Georgia" w:hAnsi="Georgia"/>
              </w:rPr>
              <w:t xml:space="preserve"> </w:t>
            </w:r>
            <w:r w:rsidRPr="006A7C34">
              <w:rPr>
                <w:rFonts w:ascii="Georgia" w:hAnsi="Georgia" w:cs="Tahoma"/>
              </w:rPr>
              <w:t>efficiency and mastery of technical skills in a variety of dance forms.</w:t>
            </w:r>
            <w:proofErr w:type="gramEnd"/>
          </w:p>
        </w:tc>
        <w:tc>
          <w:tcPr>
            <w:tcW w:w="882" w:type="pct"/>
          </w:tcPr>
          <w:p w:rsidR="00C51D77" w:rsidRDefault="00C51D77" w:rsidP="00C51D77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C51D77" w:rsidRDefault="00C51D77" w:rsidP="00C51D77">
            <w:pPr>
              <w:rPr>
                <w:rFonts w:ascii="Georgia" w:hAnsi="Georgia"/>
              </w:rPr>
            </w:pPr>
          </w:p>
        </w:tc>
      </w:tr>
      <w:tr w:rsidR="00C51D77" w:rsidRPr="001B5771" w:rsidTr="00C51D77">
        <w:trPr>
          <w:trHeight w:val="890"/>
        </w:trPr>
        <w:tc>
          <w:tcPr>
            <w:tcW w:w="1765" w:type="pct"/>
          </w:tcPr>
          <w:p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8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</w:rPr>
              <w:t>Understands the principals of choreography (i.e., dance improvisation, composition, and choreography).</w:t>
            </w:r>
          </w:p>
        </w:tc>
        <w:tc>
          <w:tcPr>
            <w:tcW w:w="882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:rsidTr="00C51D77">
        <w:trPr>
          <w:trHeight w:val="683"/>
        </w:trPr>
        <w:tc>
          <w:tcPr>
            <w:tcW w:w="1765" w:type="pct"/>
          </w:tcPr>
          <w:p w:rsidR="00C51D77" w:rsidRPr="006A7C34" w:rsidRDefault="00C51D77" w:rsidP="00C51D77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b/>
                <w:bCs/>
                <w:i/>
              </w:rPr>
              <w:t>Standard 9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</w:rPr>
              <w:t>Understands the components of healthy living and fitness and the benefits of daily participation in dance activities. (fitness components and wellness components)</w:t>
            </w:r>
          </w:p>
        </w:tc>
        <w:tc>
          <w:tcPr>
            <w:tcW w:w="882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:rsidTr="00C51D77">
        <w:trPr>
          <w:trHeight w:val="602"/>
        </w:trPr>
        <w:tc>
          <w:tcPr>
            <w:tcW w:w="1765" w:type="pct"/>
          </w:tcPr>
          <w:p w:rsidR="00C51D77" w:rsidRPr="006A7C34" w:rsidRDefault="00C51D77" w:rsidP="00C51D77">
            <w:pPr>
              <w:rPr>
                <w:rFonts w:ascii="Georgia" w:hAnsi="Georgia" w:cs="Tahoma"/>
              </w:rPr>
            </w:pPr>
            <w:r w:rsidRPr="00CE4584">
              <w:rPr>
                <w:rFonts w:ascii="Georgia" w:hAnsi="Georgia" w:cs="Tahoma"/>
                <w:b/>
                <w:bCs/>
                <w:i/>
              </w:rPr>
              <w:t>Standard 1</w:t>
            </w:r>
            <w:r>
              <w:rPr>
                <w:rFonts w:ascii="Georgia" w:hAnsi="Georgia" w:cs="Tahoma"/>
                <w:b/>
                <w:bCs/>
                <w:i/>
              </w:rPr>
              <w:t>0</w:t>
            </w:r>
            <w:r w:rsidRPr="00CE4584">
              <w:rPr>
                <w:rFonts w:ascii="Georgia" w:hAnsi="Georgia" w:cs="Tahoma"/>
                <w:b/>
                <w:bCs/>
                <w:i/>
              </w:rPr>
              <w:t>:</w:t>
            </w:r>
            <w:r>
              <w:rPr>
                <w:rFonts w:ascii="Georgia" w:hAnsi="Georgia" w:cs="Tahoma"/>
              </w:rPr>
              <w:t xml:space="preserve"> </w:t>
            </w:r>
            <w:r w:rsidRPr="006A7C34">
              <w:rPr>
                <w:rFonts w:ascii="Georgia" w:hAnsi="Georgia" w:cs="Tahoma"/>
              </w:rPr>
              <w:t xml:space="preserve">Has a working knowledge of dance choreography and teaching strategies to help students </w:t>
            </w:r>
            <w:proofErr w:type="gramStart"/>
            <w:r w:rsidRPr="006A7C34">
              <w:rPr>
                <w:rFonts w:ascii="Georgia" w:hAnsi="Georgia" w:cs="Tahoma"/>
              </w:rPr>
              <w:t>create,</w:t>
            </w:r>
            <w:proofErr w:type="gramEnd"/>
            <w:r w:rsidRPr="006A7C34">
              <w:rPr>
                <w:rFonts w:ascii="Georgia" w:hAnsi="Georgia" w:cs="Tahoma"/>
              </w:rPr>
              <w:t xml:space="preserve"> study, interpret and evaluate works of art.</w:t>
            </w:r>
          </w:p>
        </w:tc>
        <w:tc>
          <w:tcPr>
            <w:tcW w:w="882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  <w:tr w:rsidR="00C51D77" w:rsidRPr="001B5771" w:rsidTr="00C51D77">
        <w:trPr>
          <w:trHeight w:val="845"/>
        </w:trPr>
        <w:tc>
          <w:tcPr>
            <w:tcW w:w="1765" w:type="pct"/>
          </w:tcPr>
          <w:p w:rsidR="00C51D77" w:rsidRPr="006A7C34" w:rsidRDefault="00C51D77" w:rsidP="00C51D77">
            <w:pPr>
              <w:rPr>
                <w:rFonts w:ascii="Georgia" w:hAnsi="Georgia" w:cs="Tahoma"/>
              </w:rPr>
            </w:pPr>
            <w:r w:rsidRPr="00CE4584">
              <w:rPr>
                <w:rFonts w:ascii="Georgia" w:hAnsi="Georgia" w:cs="Tahoma"/>
                <w:b/>
                <w:bCs/>
                <w:i/>
              </w:rPr>
              <w:t>Standard 1</w:t>
            </w:r>
            <w:r>
              <w:rPr>
                <w:rFonts w:ascii="Georgia" w:hAnsi="Georgia" w:cs="Tahoma"/>
                <w:b/>
                <w:bCs/>
                <w:i/>
              </w:rPr>
              <w:t>1</w:t>
            </w:r>
            <w:r w:rsidRPr="00CE4584">
              <w:rPr>
                <w:rFonts w:ascii="Georgia" w:hAnsi="Georgia" w:cs="Tahoma"/>
                <w:b/>
                <w:bCs/>
                <w:i/>
              </w:rPr>
              <w:t xml:space="preserve">: </w:t>
            </w:r>
            <w:r w:rsidRPr="006A7C34">
              <w:rPr>
                <w:rFonts w:ascii="Georgia" w:hAnsi="Georgia" w:cs="Tahoma"/>
              </w:rPr>
              <w:t>Has knowledge of dance resources including community resources, materials, equipment, and proper facilities, and can adapt a variety of resources and materials that supports students as they learn through and about dance</w:t>
            </w:r>
          </w:p>
        </w:tc>
        <w:tc>
          <w:tcPr>
            <w:tcW w:w="882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C51D77" w:rsidRDefault="00C51D77" w:rsidP="00C51D77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D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1D77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85B6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37</cp:revision>
  <cp:lastPrinted>2018-11-26T19:58:00Z</cp:lastPrinted>
  <dcterms:created xsi:type="dcterms:W3CDTF">2019-05-23T18:41:00Z</dcterms:created>
  <dcterms:modified xsi:type="dcterms:W3CDTF">2020-07-07T14:34:00Z</dcterms:modified>
</cp:coreProperties>
</file>